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6C" w:rsidRDefault="003B4C6C" w:rsidP="003B4C6C">
      <w:pPr>
        <w:jc w:val="center"/>
        <w:rPr>
          <w:b/>
          <w:bCs/>
          <w:i/>
          <w:iCs/>
          <w:color w:val="006A8E"/>
          <w:sz w:val="36"/>
          <w:szCs w:val="36"/>
          <w:lang w:eastAsia="sl-SI"/>
        </w:rPr>
      </w:pPr>
      <w:r>
        <w:rPr>
          <w:b/>
          <w:bCs/>
          <w:i/>
          <w:iCs/>
          <w:color w:val="006A8E"/>
          <w:sz w:val="36"/>
          <w:szCs w:val="36"/>
        </w:rPr>
        <w:t>5.</w:t>
      </w:r>
      <w:r>
        <w:rPr>
          <w:b/>
          <w:bCs/>
          <w:i/>
          <w:iCs/>
          <w:color w:val="006A8E"/>
          <w:sz w:val="52"/>
          <w:szCs w:val="52"/>
        </w:rPr>
        <w:t xml:space="preserve"> </w:t>
      </w:r>
      <w:r>
        <w:rPr>
          <w:b/>
          <w:bCs/>
          <w:i/>
          <w:iCs/>
          <w:color w:val="006A8E"/>
          <w:sz w:val="36"/>
          <w:szCs w:val="36"/>
        </w:rPr>
        <w:t>karierna tržnica v živo</w:t>
      </w:r>
    </w:p>
    <w:p w:rsidR="003B4C6C" w:rsidRDefault="003B4C6C" w:rsidP="003B4C6C">
      <w:pPr>
        <w:jc w:val="center"/>
        <w:rPr>
          <w:sz w:val="20"/>
          <w:szCs w:val="20"/>
        </w:rPr>
      </w:pPr>
      <w:r>
        <w:rPr>
          <w:sz w:val="20"/>
          <w:szCs w:val="20"/>
        </w:rPr>
        <w:t>Rektorat Univerze v Mariboru</w:t>
      </w:r>
    </w:p>
    <w:p w:rsidR="003B4C6C" w:rsidRDefault="003B4C6C" w:rsidP="003B4C6C">
      <w:pPr>
        <w:jc w:val="center"/>
        <w:rPr>
          <w:b/>
          <w:bCs/>
          <w:sz w:val="20"/>
          <w:szCs w:val="20"/>
        </w:rPr>
      </w:pPr>
      <w:r>
        <w:rPr>
          <w:b/>
          <w:bCs/>
          <w:sz w:val="20"/>
          <w:szCs w:val="20"/>
        </w:rPr>
        <w:t>sreda, 18. april 2018</w:t>
      </w:r>
    </w:p>
    <w:p w:rsidR="003B4C6C" w:rsidRDefault="003B4C6C" w:rsidP="003B4C6C">
      <w:pPr>
        <w:pStyle w:val="Navadensplet"/>
        <w:jc w:val="both"/>
        <w:rPr>
          <w:rFonts w:ascii="Calibri" w:hAnsi="Calibri"/>
          <w:sz w:val="22"/>
          <w:szCs w:val="22"/>
        </w:rPr>
      </w:pPr>
      <w:r>
        <w:rPr>
          <w:rFonts w:ascii="Calibri" w:hAnsi="Calibri"/>
          <w:sz w:val="22"/>
          <w:szCs w:val="22"/>
        </w:rPr>
        <w:t xml:space="preserve">Karierni center Univerze v Mariboru v sodelovanju z Zavodom RS za zaposlovanje, OS Maribor in OS Ptuj, že peto leto zapored prireja dogodek na temo kariernih priložnosti za mlade. </w:t>
      </w:r>
      <w:r>
        <w:rPr>
          <w:rStyle w:val="Krepko"/>
          <w:rFonts w:ascii="Calibri" w:hAnsi="Calibri"/>
          <w:sz w:val="22"/>
          <w:szCs w:val="22"/>
        </w:rPr>
        <w:t>Dogodek 5. karierna tržnica v živo</w:t>
      </w:r>
      <w:r>
        <w:rPr>
          <w:rFonts w:ascii="Calibri" w:hAnsi="Calibri"/>
          <w:sz w:val="22"/>
          <w:szCs w:val="22"/>
        </w:rPr>
        <w:t xml:space="preserve"> študentom in diplomantom UM ter iskalcem zaposlitve omogoča priložnost, da vzpostavijo osebni stik s potencialnimi delodajalci.</w:t>
      </w:r>
    </w:p>
    <w:p w:rsidR="003B4C6C" w:rsidRDefault="003B4C6C" w:rsidP="003B4C6C">
      <w:pPr>
        <w:pStyle w:val="Navadensplet"/>
        <w:jc w:val="both"/>
        <w:rPr>
          <w:rFonts w:ascii="Calibri" w:hAnsi="Calibri"/>
          <w:sz w:val="22"/>
          <w:szCs w:val="22"/>
        </w:rPr>
      </w:pPr>
      <w:r>
        <w:rPr>
          <w:rFonts w:ascii="Calibri" w:hAnsi="Calibri"/>
          <w:sz w:val="22"/>
          <w:szCs w:val="22"/>
        </w:rPr>
        <w:t xml:space="preserve">Na </w:t>
      </w:r>
      <w:r>
        <w:rPr>
          <w:rFonts w:ascii="Calibri" w:hAnsi="Calibri"/>
          <w:b/>
          <w:bCs/>
          <w:sz w:val="22"/>
          <w:szCs w:val="22"/>
        </w:rPr>
        <w:t>kariernem sejmu</w:t>
      </w:r>
      <w:r>
        <w:rPr>
          <w:rFonts w:ascii="Calibri" w:hAnsi="Calibri"/>
          <w:sz w:val="22"/>
          <w:szCs w:val="22"/>
        </w:rPr>
        <w:t xml:space="preserve"> se bodo udeleženci osebno srečali z delodajalci in se jim tudi predstavili, na hitrih zaposlitvenih razgovorih pa z njimi izvedli 5 minutne zaposlitvene razgovore. Ob mnogih delodajalcih se bodo na sejmu predstavili tudi drugi akterji, ki si prizadevajo za ustvarjanje dodatnih možnostih kariernega razvoja ter izvajajo aktivnosti, povezane z zagotavljanjem lažjega prehoda na trg dela. Letos se bo sejma in hitrih zaposlitvenih razgovorov udeležilo več kot 15 delodajalcev, Hitrih zaposlitvenih razgovorov, na katere se bodo morali udeleženci predhodno prijaviti in smo zanje izvedli tudi predhodno skupinsko svetovanje, se bo lahko udeležilo več kot 100 kandidatov. </w:t>
      </w:r>
    </w:p>
    <w:p w:rsidR="003B4C6C" w:rsidRDefault="003B4C6C" w:rsidP="003B4C6C">
      <w:pPr>
        <w:pStyle w:val="Navadensplet"/>
        <w:spacing w:before="0" w:beforeAutospacing="0" w:after="0" w:afterAutospacing="0"/>
        <w:jc w:val="both"/>
        <w:rPr>
          <w:rFonts w:ascii="Calibri" w:hAnsi="Calibri"/>
          <w:b/>
          <w:bCs/>
          <w:sz w:val="22"/>
          <w:szCs w:val="22"/>
        </w:rPr>
      </w:pPr>
      <w:r>
        <w:rPr>
          <w:rFonts w:ascii="Calibri" w:hAnsi="Calibri"/>
          <w:b/>
          <w:bCs/>
          <w:sz w:val="22"/>
          <w:szCs w:val="22"/>
        </w:rPr>
        <w:t>Program 5. karierne tržnice v živo:</w:t>
      </w:r>
    </w:p>
    <w:tbl>
      <w:tblPr>
        <w:tblW w:w="10059" w:type="dxa"/>
        <w:jc w:val="center"/>
        <w:tblCellMar>
          <w:left w:w="0" w:type="dxa"/>
          <w:right w:w="0" w:type="dxa"/>
        </w:tblCellMar>
        <w:tblLook w:val="04A0" w:firstRow="1" w:lastRow="0" w:firstColumn="1" w:lastColumn="0" w:noHBand="0" w:noVBand="1"/>
      </w:tblPr>
      <w:tblGrid>
        <w:gridCol w:w="4810"/>
        <w:gridCol w:w="1559"/>
        <w:gridCol w:w="3690"/>
      </w:tblGrid>
      <w:tr w:rsidR="003B4C6C" w:rsidTr="003B4C6C">
        <w:trPr>
          <w:trHeight w:val="283"/>
          <w:jc w:val="center"/>
        </w:trPr>
        <w:tc>
          <w:tcPr>
            <w:tcW w:w="4810" w:type="dxa"/>
            <w:tcBorders>
              <w:top w:val="single" w:sz="8" w:space="0" w:color="auto"/>
              <w:left w:val="single" w:sz="8" w:space="0" w:color="auto"/>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sz w:val="20"/>
                <w:szCs w:val="20"/>
              </w:rPr>
            </w:pPr>
            <w:r>
              <w:rPr>
                <w:b/>
                <w:bCs/>
                <w:i/>
                <w:iCs/>
                <w:color w:val="FFFFFF"/>
                <w:sz w:val="20"/>
                <w:szCs w:val="20"/>
              </w:rPr>
              <w:t>Aktivnost</w:t>
            </w:r>
          </w:p>
        </w:tc>
        <w:tc>
          <w:tcPr>
            <w:tcW w:w="1559" w:type="dxa"/>
            <w:tcBorders>
              <w:top w:val="single" w:sz="8" w:space="0" w:color="auto"/>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sz w:val="20"/>
                <w:szCs w:val="20"/>
              </w:rPr>
            </w:pPr>
            <w:r>
              <w:rPr>
                <w:b/>
                <w:bCs/>
                <w:i/>
                <w:iCs/>
                <w:color w:val="FFFFFF"/>
                <w:sz w:val="20"/>
                <w:szCs w:val="20"/>
              </w:rPr>
              <w:t>Termin izvedbe</w:t>
            </w:r>
          </w:p>
        </w:tc>
        <w:tc>
          <w:tcPr>
            <w:tcW w:w="3690" w:type="dxa"/>
            <w:tcBorders>
              <w:top w:val="single" w:sz="8" w:space="0" w:color="auto"/>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sz w:val="20"/>
                <w:szCs w:val="20"/>
              </w:rPr>
            </w:pPr>
            <w:r>
              <w:rPr>
                <w:b/>
                <w:bCs/>
                <w:i/>
                <w:iCs/>
                <w:color w:val="FFFFFF"/>
                <w:sz w:val="20"/>
                <w:szCs w:val="20"/>
              </w:rPr>
              <w:t>Prostor</w:t>
            </w:r>
          </w:p>
        </w:tc>
      </w:tr>
      <w:tr w:rsidR="003B4C6C" w:rsidTr="003B4C6C">
        <w:trPr>
          <w:trHeight w:val="283"/>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line="252" w:lineRule="auto"/>
              <w:rPr>
                <w:sz w:val="20"/>
                <w:szCs w:val="20"/>
              </w:rPr>
            </w:pPr>
            <w:r>
              <w:rPr>
                <w:i/>
                <w:iCs/>
                <w:sz w:val="20"/>
                <w:szCs w:val="20"/>
              </w:rPr>
              <w:t>Uradna otvoritev dogodka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line="252" w:lineRule="auto"/>
              <w:rPr>
                <w:sz w:val="20"/>
                <w:szCs w:val="20"/>
              </w:rPr>
            </w:pPr>
            <w:r>
              <w:rPr>
                <w:i/>
                <w:iCs/>
                <w:sz w:val="20"/>
                <w:szCs w:val="20"/>
              </w:rPr>
              <w:t>10.00</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before="60" w:after="60" w:line="252" w:lineRule="auto"/>
              <w:rPr>
                <w:sz w:val="20"/>
                <w:szCs w:val="20"/>
              </w:rPr>
            </w:pPr>
            <w:r>
              <w:rPr>
                <w:i/>
                <w:iCs/>
                <w:sz w:val="20"/>
                <w:szCs w:val="20"/>
              </w:rPr>
              <w:t>Dvorana Borisa Podrecce, dvorana Antona Trstenjaka  in Univerzitetna galerija UM;</w:t>
            </w:r>
          </w:p>
        </w:tc>
      </w:tr>
      <w:tr w:rsidR="003B4C6C" w:rsidTr="003B4C6C">
        <w:trPr>
          <w:trHeight w:val="283"/>
          <w:jc w:val="center"/>
        </w:trPr>
        <w:tc>
          <w:tcPr>
            <w:tcW w:w="4810" w:type="dxa"/>
            <w:tcBorders>
              <w:top w:val="nil"/>
              <w:left w:val="single" w:sz="8" w:space="0" w:color="auto"/>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sz w:val="20"/>
                <w:szCs w:val="20"/>
              </w:rPr>
            </w:pPr>
            <w:r>
              <w:rPr>
                <w:i/>
                <w:iCs/>
                <w:color w:val="FFFFFF"/>
                <w:sz w:val="20"/>
                <w:szCs w:val="20"/>
              </w:rPr>
              <w:t>Karierni sejem</w:t>
            </w:r>
          </w:p>
        </w:tc>
        <w:tc>
          <w:tcPr>
            <w:tcW w:w="1559" w:type="dxa"/>
            <w:tcBorders>
              <w:top w:val="nil"/>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sz w:val="20"/>
                <w:szCs w:val="20"/>
              </w:rPr>
            </w:pPr>
            <w:r>
              <w:rPr>
                <w:i/>
                <w:iCs/>
                <w:color w:val="FFFFFF"/>
                <w:sz w:val="20"/>
                <w:szCs w:val="20"/>
              </w:rPr>
              <w:t>10.00 – 12.00</w:t>
            </w:r>
          </w:p>
        </w:tc>
        <w:tc>
          <w:tcPr>
            <w:tcW w:w="3690" w:type="dxa"/>
            <w:tcBorders>
              <w:top w:val="nil"/>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before="60" w:after="60" w:line="252" w:lineRule="auto"/>
              <w:rPr>
                <w:sz w:val="20"/>
                <w:szCs w:val="20"/>
              </w:rPr>
            </w:pPr>
            <w:r>
              <w:rPr>
                <w:i/>
                <w:iCs/>
                <w:color w:val="FFFFFF"/>
                <w:sz w:val="20"/>
                <w:szCs w:val="20"/>
              </w:rPr>
              <w:t>Dvorana Borisa Podrecce, dvorana Antona Trstenjaka in Univerzitetna galerija UM;</w:t>
            </w:r>
          </w:p>
        </w:tc>
      </w:tr>
      <w:tr w:rsidR="003B4C6C" w:rsidTr="003B4C6C">
        <w:trPr>
          <w:trHeight w:val="283"/>
          <w:jc w:val="center"/>
        </w:trPr>
        <w:tc>
          <w:tcPr>
            <w:tcW w:w="100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line="252" w:lineRule="auto"/>
              <w:rPr>
                <w:sz w:val="20"/>
                <w:szCs w:val="20"/>
              </w:rPr>
            </w:pPr>
            <w:r>
              <w:rPr>
                <w:b/>
                <w:bCs/>
                <w:i/>
                <w:iCs/>
                <w:sz w:val="20"/>
                <w:szCs w:val="20"/>
              </w:rPr>
              <w:t>Spremljevalni program:</w:t>
            </w:r>
          </w:p>
        </w:tc>
      </w:tr>
      <w:tr w:rsidR="003B4C6C" w:rsidTr="003B4C6C">
        <w:trPr>
          <w:trHeight w:val="283"/>
          <w:jc w:val="center"/>
        </w:trPr>
        <w:tc>
          <w:tcPr>
            <w:tcW w:w="481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spacing w:line="252" w:lineRule="auto"/>
              <w:rPr>
                <w:sz w:val="20"/>
                <w:szCs w:val="20"/>
              </w:rPr>
            </w:pPr>
            <w:r>
              <w:rPr>
                <w:sz w:val="20"/>
                <w:szCs w:val="20"/>
              </w:rPr>
              <w:t xml:space="preserve">        -      </w:t>
            </w:r>
            <w:r>
              <w:rPr>
                <w:i/>
                <w:iCs/>
                <w:sz w:val="20"/>
                <w:szCs w:val="20"/>
              </w:rPr>
              <w:t>CV Klinika</w:t>
            </w: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spacing w:line="252" w:lineRule="auto"/>
              <w:rPr>
                <w:i/>
                <w:iCs/>
                <w:sz w:val="20"/>
                <w:szCs w:val="20"/>
              </w:rPr>
            </w:pPr>
            <w:r>
              <w:rPr>
                <w:i/>
                <w:iCs/>
                <w:sz w:val="20"/>
                <w:szCs w:val="20"/>
              </w:rPr>
              <w:t>10.15 – 10.45</w:t>
            </w:r>
          </w:p>
        </w:tc>
        <w:tc>
          <w:tcPr>
            <w:tcW w:w="36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spacing w:line="252" w:lineRule="auto"/>
              <w:rPr>
                <w:sz w:val="20"/>
                <w:szCs w:val="20"/>
              </w:rPr>
            </w:pPr>
            <w:r>
              <w:rPr>
                <w:i/>
                <w:iCs/>
                <w:sz w:val="20"/>
                <w:szCs w:val="20"/>
              </w:rPr>
              <w:t>Spominska soba Leona Štuklja UM</w:t>
            </w:r>
          </w:p>
        </w:tc>
      </w:tr>
      <w:tr w:rsidR="003B4C6C" w:rsidTr="003B4C6C">
        <w:trPr>
          <w:trHeight w:val="283"/>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4C6C" w:rsidRDefault="003B4C6C">
            <w:pPr>
              <w:pStyle w:val="Odstavekseznama"/>
              <w:spacing w:line="252" w:lineRule="auto"/>
              <w:ind w:hanging="360"/>
              <w:rPr>
                <w:sz w:val="20"/>
                <w:szCs w:val="20"/>
              </w:rPr>
            </w:pPr>
            <w:r>
              <w:rPr>
                <w:sz w:val="20"/>
                <w:szCs w:val="20"/>
              </w:rPr>
              <w:t>-      </w:t>
            </w:r>
            <w:r>
              <w:rPr>
                <w:i/>
                <w:iCs/>
                <w:sz w:val="20"/>
                <w:szCs w:val="20"/>
              </w:rPr>
              <w:t>Brezplačno profesionalno fotografiranje za življenjepis;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line="252" w:lineRule="auto"/>
              <w:rPr>
                <w:i/>
                <w:iCs/>
                <w:sz w:val="20"/>
                <w:szCs w:val="20"/>
              </w:rPr>
            </w:pPr>
            <w:r>
              <w:rPr>
                <w:i/>
                <w:iCs/>
                <w:sz w:val="20"/>
                <w:szCs w:val="20"/>
              </w:rPr>
              <w:t>10.15 – 12.00</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4C6C" w:rsidRDefault="003B4C6C">
            <w:pPr>
              <w:spacing w:line="252" w:lineRule="auto"/>
              <w:rPr>
                <w:sz w:val="20"/>
                <w:szCs w:val="20"/>
              </w:rPr>
            </w:pPr>
            <w:r>
              <w:rPr>
                <w:i/>
                <w:iCs/>
                <w:sz w:val="20"/>
                <w:szCs w:val="20"/>
              </w:rPr>
              <w:t>Dvorana Frana Miklošiča UM</w:t>
            </w:r>
          </w:p>
        </w:tc>
      </w:tr>
      <w:tr w:rsidR="003B4C6C" w:rsidTr="003B4C6C">
        <w:trPr>
          <w:trHeight w:val="283"/>
          <w:jc w:val="center"/>
        </w:trPr>
        <w:tc>
          <w:tcPr>
            <w:tcW w:w="4810"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rPr>
                <w:i/>
                <w:iCs/>
                <w:sz w:val="20"/>
                <w:szCs w:val="20"/>
              </w:rPr>
            </w:pPr>
            <w:r>
              <w:rPr>
                <w:i/>
                <w:iCs/>
                <w:sz w:val="20"/>
                <w:szCs w:val="20"/>
              </w:rPr>
              <w:t>       -      Kratka predstavitev ukrepov za mlade</w:t>
            </w:r>
          </w:p>
        </w:tc>
        <w:tc>
          <w:tcPr>
            <w:tcW w:w="155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spacing w:line="252" w:lineRule="auto"/>
              <w:rPr>
                <w:i/>
                <w:iCs/>
                <w:sz w:val="20"/>
                <w:szCs w:val="20"/>
              </w:rPr>
            </w:pPr>
            <w:r>
              <w:rPr>
                <w:i/>
                <w:iCs/>
                <w:sz w:val="20"/>
                <w:szCs w:val="20"/>
              </w:rPr>
              <w:t>11.00 – 11.15</w:t>
            </w:r>
          </w:p>
        </w:tc>
        <w:tc>
          <w:tcPr>
            <w:tcW w:w="36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3B4C6C" w:rsidRDefault="003B4C6C">
            <w:pPr>
              <w:spacing w:line="252" w:lineRule="auto"/>
              <w:rPr>
                <w:sz w:val="20"/>
                <w:szCs w:val="20"/>
              </w:rPr>
            </w:pPr>
            <w:r>
              <w:rPr>
                <w:i/>
                <w:iCs/>
                <w:sz w:val="20"/>
                <w:szCs w:val="20"/>
              </w:rPr>
              <w:t>Dvorana Borisa Podrecce UM</w:t>
            </w:r>
          </w:p>
        </w:tc>
      </w:tr>
      <w:tr w:rsidR="003B4C6C" w:rsidTr="003B4C6C">
        <w:trPr>
          <w:trHeight w:val="453"/>
          <w:jc w:val="center"/>
        </w:trPr>
        <w:tc>
          <w:tcPr>
            <w:tcW w:w="4810" w:type="dxa"/>
            <w:tcBorders>
              <w:top w:val="nil"/>
              <w:left w:val="single" w:sz="8" w:space="0" w:color="auto"/>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i/>
                <w:iCs/>
                <w:color w:val="FFFFFF"/>
                <w:sz w:val="20"/>
                <w:szCs w:val="20"/>
              </w:rPr>
            </w:pPr>
            <w:r>
              <w:rPr>
                <w:i/>
                <w:iCs/>
                <w:color w:val="FFFFFF"/>
                <w:sz w:val="20"/>
                <w:szCs w:val="20"/>
              </w:rPr>
              <w:t>Hitri zaposlitveni razgovori</w:t>
            </w:r>
          </w:p>
        </w:tc>
        <w:tc>
          <w:tcPr>
            <w:tcW w:w="1559" w:type="dxa"/>
            <w:tcBorders>
              <w:top w:val="nil"/>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i/>
                <w:iCs/>
                <w:color w:val="FFFFFF"/>
                <w:sz w:val="20"/>
                <w:szCs w:val="20"/>
              </w:rPr>
            </w:pPr>
            <w:r>
              <w:rPr>
                <w:i/>
                <w:iCs/>
                <w:color w:val="FFFFFF"/>
                <w:sz w:val="20"/>
                <w:szCs w:val="20"/>
              </w:rPr>
              <w:t>12.00 – 13.00</w:t>
            </w:r>
          </w:p>
        </w:tc>
        <w:tc>
          <w:tcPr>
            <w:tcW w:w="3690" w:type="dxa"/>
            <w:tcBorders>
              <w:top w:val="nil"/>
              <w:left w:val="nil"/>
              <w:bottom w:val="single" w:sz="8" w:space="0" w:color="auto"/>
              <w:right w:val="single" w:sz="8" w:space="0" w:color="auto"/>
            </w:tcBorders>
            <w:shd w:val="clear" w:color="auto" w:fill="1E4D77"/>
            <w:tcMar>
              <w:top w:w="0" w:type="dxa"/>
              <w:left w:w="108" w:type="dxa"/>
              <w:bottom w:w="0" w:type="dxa"/>
              <w:right w:w="108" w:type="dxa"/>
            </w:tcMar>
            <w:vAlign w:val="center"/>
            <w:hideMark/>
          </w:tcPr>
          <w:p w:rsidR="003B4C6C" w:rsidRDefault="003B4C6C">
            <w:pPr>
              <w:spacing w:line="252" w:lineRule="auto"/>
              <w:rPr>
                <w:i/>
                <w:iCs/>
                <w:color w:val="FFFFFF"/>
                <w:sz w:val="20"/>
                <w:szCs w:val="20"/>
              </w:rPr>
            </w:pPr>
            <w:r>
              <w:rPr>
                <w:i/>
                <w:iCs/>
                <w:color w:val="FFFFFF"/>
                <w:sz w:val="20"/>
                <w:szCs w:val="20"/>
              </w:rPr>
              <w:t>Velika dvorana UM</w:t>
            </w:r>
          </w:p>
        </w:tc>
      </w:tr>
    </w:tbl>
    <w:p w:rsidR="003B4C6C" w:rsidRDefault="003B4C6C" w:rsidP="003B4C6C"/>
    <w:p w:rsidR="003B4C6C" w:rsidRDefault="003B4C6C" w:rsidP="003B4C6C">
      <w:r>
        <w:t xml:space="preserve">Za sodelovanje na </w:t>
      </w:r>
      <w:r>
        <w:rPr>
          <w:b/>
          <w:bCs/>
        </w:rPr>
        <w:t>hitrih zaposlitvenih razgovorih</w:t>
      </w:r>
      <w:r>
        <w:t xml:space="preserve"> je potrebna prijava k posameznemu delodajalcu najkasneje do </w:t>
      </w:r>
      <w:r>
        <w:rPr>
          <w:b/>
          <w:bCs/>
        </w:rPr>
        <w:t>12. marca 2018</w:t>
      </w:r>
      <w:r>
        <w:t>. Povezave so v nadaljevanju:</w:t>
      </w:r>
    </w:p>
    <w:p w:rsidR="003B4C6C" w:rsidRDefault="003B4C6C" w:rsidP="003B4C6C"/>
    <w:tbl>
      <w:tblPr>
        <w:tblW w:w="7791"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1"/>
      </w:tblGrid>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pPr>
              <w:pStyle w:val="Navadensplet"/>
              <w:rPr>
                <w:rFonts w:ascii="Calibri" w:hAnsi="Calibri"/>
                <w:sz w:val="22"/>
                <w:szCs w:val="22"/>
              </w:rPr>
            </w:pPr>
            <w:hyperlink r:id="rId4" w:history="1">
              <w:r>
                <w:rPr>
                  <w:rStyle w:val="Hiperpovezava"/>
                  <w:rFonts w:ascii="Calibri" w:hAnsi="Calibri"/>
                  <w:sz w:val="22"/>
                  <w:szCs w:val="22"/>
                </w:rPr>
                <w:t>TALUM d.d.</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5" w:history="1">
              <w:r>
                <w:rPr>
                  <w:rStyle w:val="Hiperpovezava"/>
                </w:rPr>
                <w:t>FIMA ZNANJE - Izobraževalni center tujih jezikov</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6" w:history="1">
              <w:r>
                <w:rPr>
                  <w:rStyle w:val="Hiperpovezava"/>
                </w:rPr>
                <w:t>Trenkwalder kadrovske storitve,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7" w:history="1">
              <w:r>
                <w:rPr>
                  <w:rStyle w:val="Hiperpovezava"/>
                </w:rPr>
                <w:t>SSI Schaefer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pPr>
              <w:pStyle w:val="Navadensplet"/>
              <w:rPr>
                <w:rFonts w:ascii="Calibri" w:hAnsi="Calibri"/>
                <w:sz w:val="22"/>
                <w:szCs w:val="22"/>
              </w:rPr>
            </w:pPr>
            <w:hyperlink r:id="rId8" w:history="1">
              <w:r>
                <w:rPr>
                  <w:rStyle w:val="Hiperpovezava"/>
                  <w:rFonts w:ascii="Calibri" w:hAnsi="Calibri"/>
                  <w:sz w:val="22"/>
                  <w:szCs w:val="22"/>
                </w:rPr>
                <w:t>LES-MMS d.o.o. (lesnina XXXL)</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9" w:history="1">
              <w:r>
                <w:rPr>
                  <w:rStyle w:val="Hiperpovezava"/>
                </w:rPr>
                <w:t>e-študentski servis</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0" w:history="1">
              <w:r>
                <w:rPr>
                  <w:rStyle w:val="Hiperpovezava"/>
                </w:rPr>
                <w:t>Agencija M servis, Kadrovske storitve,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pPr>
              <w:pStyle w:val="Navadensplet"/>
              <w:rPr>
                <w:rFonts w:ascii="Calibri" w:hAnsi="Calibri"/>
                <w:sz w:val="22"/>
                <w:szCs w:val="22"/>
              </w:rPr>
            </w:pPr>
            <w:hyperlink r:id="rId11" w:history="1">
              <w:r>
                <w:rPr>
                  <w:rStyle w:val="Hiperpovezava"/>
                  <w:rFonts w:ascii="Calibri" w:hAnsi="Calibri"/>
                  <w:sz w:val="22"/>
                  <w:szCs w:val="22"/>
                </w:rPr>
                <w:t>GKN Driveline Slovenija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pPr>
              <w:pStyle w:val="Navadensplet"/>
              <w:rPr>
                <w:rFonts w:ascii="Calibri" w:hAnsi="Calibri"/>
                <w:sz w:val="22"/>
                <w:szCs w:val="22"/>
              </w:rPr>
            </w:pPr>
            <w:hyperlink r:id="rId12" w:history="1">
              <w:r>
                <w:rPr>
                  <w:rStyle w:val="Hiperpovezava"/>
                  <w:rFonts w:ascii="Calibri" w:hAnsi="Calibri"/>
                  <w:sz w:val="22"/>
                  <w:szCs w:val="22"/>
                </w:rPr>
                <w:t>BOOM SOFTWARE AG</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3" w:history="1">
              <w:r>
                <w:rPr>
                  <w:rStyle w:val="Hiperpovezava"/>
                </w:rPr>
                <w:t>PIA Automation Austria GmbH</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4" w:history="1">
              <w:r>
                <w:rPr>
                  <w:rStyle w:val="Hiperpovezava"/>
                </w:rPr>
                <w:t>Lek d.d., član skupine Sandoz</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pPr>
              <w:pStyle w:val="Navadensplet"/>
              <w:rPr>
                <w:rFonts w:ascii="Calibri" w:hAnsi="Calibri"/>
                <w:sz w:val="22"/>
                <w:szCs w:val="22"/>
              </w:rPr>
            </w:pPr>
            <w:hyperlink r:id="rId15" w:history="1">
              <w:r>
                <w:rPr>
                  <w:rStyle w:val="Hiperpovezava"/>
                  <w:rFonts w:ascii="Calibri" w:hAnsi="Calibri"/>
                  <w:sz w:val="22"/>
                  <w:szCs w:val="22"/>
                </w:rPr>
                <w:t>Henkel Maribor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6" w:history="1">
              <w:r>
                <w:rPr>
                  <w:rStyle w:val="Hiperpovezava"/>
                </w:rPr>
                <w:t>LASERTEHNIK Marfin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7" w:history="1">
              <w:r>
                <w:rPr>
                  <w:rStyle w:val="Hiperpovezava"/>
                </w:rPr>
                <w:t>Kadring – kadrovsko in poslovno svetovanje,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8" w:history="1">
              <w:r>
                <w:rPr>
                  <w:rStyle w:val="Hiperpovezava"/>
                </w:rPr>
                <w:t>BOXMARK Leather d.o.o.</w:t>
              </w:r>
            </w:hyperlink>
          </w:p>
        </w:tc>
      </w:tr>
      <w:tr w:rsidR="003B4C6C" w:rsidTr="003B4C6C">
        <w:trPr>
          <w:tblCellSpacing w:w="7" w:type="dxa"/>
          <w:jc w:val="center"/>
        </w:trPr>
        <w:tc>
          <w:tcPr>
            <w:tcW w:w="7767"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B4C6C" w:rsidRDefault="003B4C6C">
            <w:hyperlink r:id="rId19" w:history="1">
              <w:r>
                <w:rPr>
                  <w:rStyle w:val="Hiperpovezava"/>
                </w:rPr>
                <w:t>Jungheinrich Systemlösungen GmbH</w:t>
              </w:r>
            </w:hyperlink>
          </w:p>
        </w:tc>
      </w:tr>
    </w:tbl>
    <w:p w:rsidR="003B4C6C" w:rsidRDefault="003B4C6C" w:rsidP="003B4C6C"/>
    <w:p w:rsidR="003B4C6C" w:rsidRDefault="003B4C6C" w:rsidP="003B4C6C">
      <w:r>
        <w:rPr>
          <w:b/>
          <w:bCs/>
        </w:rPr>
        <w:t>Za udeležbo na kariernem sejmu pa je potrebna prijava preko spletne strani Kariernega centra Univerze v Mariboru, kar najdete</w:t>
      </w:r>
      <w:r>
        <w:t xml:space="preserve"> </w:t>
      </w:r>
      <w:hyperlink r:id="rId20" w:history="1">
        <w:r>
          <w:rPr>
            <w:rStyle w:val="Hiperpovezava"/>
          </w:rPr>
          <w:t>tukaj</w:t>
        </w:r>
      </w:hyperlink>
      <w:r>
        <w:t xml:space="preserve">. </w:t>
      </w:r>
    </w:p>
    <w:p w:rsidR="003B4C6C" w:rsidRDefault="003B4C6C" w:rsidP="003B4C6C">
      <w:pPr>
        <w:rPr>
          <w:sz w:val="28"/>
          <w:szCs w:val="28"/>
        </w:rPr>
      </w:pPr>
    </w:p>
    <w:p w:rsidR="003B4C6C" w:rsidRDefault="003B4C6C" w:rsidP="003B4C6C">
      <w:pPr>
        <w:rPr>
          <w:lang w:val="en-GB"/>
        </w:rPr>
      </w:pPr>
      <w:r>
        <w:rPr>
          <w:b/>
          <w:bCs/>
          <w:i/>
          <w:iCs/>
        </w:rPr>
        <w:t>Delodajalci na dogodk</w:t>
      </w:r>
      <w:r>
        <w:rPr>
          <w:b/>
          <w:bCs/>
          <w:i/>
          <w:iCs/>
          <w:sz w:val="20"/>
          <w:szCs w:val="20"/>
        </w:rPr>
        <w:t>u</w:t>
      </w:r>
      <w:r>
        <w:rPr>
          <w:b/>
          <w:bCs/>
          <w:i/>
          <w:iCs/>
        </w:rPr>
        <w:t xml:space="preserve">: </w:t>
      </w:r>
      <w:r>
        <w:t>Zavod center nova – Fima;  Talum d.d.; M&amp;R Automation GmbH; Lek d.d., član skupine Sandoz; Kadring – kadrovsko in poslovno svetovanje, d.o.o.; Agencija M servis, Kadrovske storitve, d.o.o.; E-študentski servis; BOXMARK Leather d.o.o.; LASERTEHNIK MARFIN, d.o.o.; Trenkwalder kadrovske storitve, d.o.o.; Palfinger d.o.o.; Študentski servis, d.o.o.; Henkel Maribor d.o.o.; SSI Schaefer d.o.o.; LES-MMS d.o.o. (lesnina XXXL); GKN Driveline Slovenija, d.o.o.; BOOM SOFTWARE AG; Jungheinrich Systemlösungen GmbH; PIA Automation Austria GmbH; Deloitte d.o.o.; Pikapoka d.o.o. …</w:t>
      </w:r>
    </w:p>
    <w:p w:rsidR="003B4C6C" w:rsidRDefault="003B4C6C" w:rsidP="003B4C6C">
      <w:pPr>
        <w:jc w:val="both"/>
        <w:rPr>
          <w:b/>
          <w:bCs/>
          <w:i/>
          <w:iCs/>
        </w:rPr>
      </w:pPr>
    </w:p>
    <w:p w:rsidR="003B4C6C" w:rsidRDefault="003B4C6C" w:rsidP="003B4C6C">
      <w:pPr>
        <w:jc w:val="both"/>
      </w:pPr>
      <w:r>
        <w:rPr>
          <w:b/>
          <w:bCs/>
          <w:i/>
          <w:iCs/>
        </w:rPr>
        <w:t xml:space="preserve">Drugi udeleženci na dogodku: </w:t>
      </w:r>
      <w:r>
        <w:rPr>
          <w:rStyle w:val="Poudarek"/>
          <w:i w:val="0"/>
          <w:iCs w:val="0"/>
        </w:rPr>
        <w:t>Zavod za zaposlovanje RS, OS Maribor in OS Ptuj, Univerza v Mariboru – pisarna za projekte; Karierni center UM, Študentski svet Univerze v Mariboru, Tovarna podjemov…</w:t>
      </w:r>
    </w:p>
    <w:p w:rsidR="003B4C6C" w:rsidRDefault="003B4C6C" w:rsidP="003B4C6C">
      <w:pPr>
        <w:jc w:val="both"/>
        <w:rPr>
          <w:b/>
          <w:bCs/>
        </w:rPr>
      </w:pPr>
    </w:p>
    <w:p w:rsidR="003B4C6C" w:rsidRDefault="003B4C6C" w:rsidP="003B4C6C">
      <w:pPr>
        <w:jc w:val="both"/>
        <w:rPr>
          <w:b/>
          <w:bCs/>
          <w:i/>
          <w:iCs/>
        </w:rPr>
      </w:pPr>
      <w:r>
        <w:rPr>
          <w:b/>
          <w:bCs/>
          <w:i/>
          <w:iCs/>
        </w:rPr>
        <w:t>Organizatorji:</w:t>
      </w:r>
    </w:p>
    <w:p w:rsidR="003B4C6C" w:rsidRDefault="003B4C6C" w:rsidP="003B4C6C">
      <w:pPr>
        <w:jc w:val="both"/>
        <w:rPr>
          <w:i/>
          <w:iCs/>
        </w:rPr>
      </w:pPr>
      <w:r>
        <w:rPr>
          <w:i/>
          <w:iCs/>
        </w:rPr>
        <w:t>Karierni center Univerze v Mariboru, Zavod RS za zaposlovanje – OS Maribor in OS Ptuj</w:t>
      </w:r>
    </w:p>
    <w:p w:rsidR="003B4C6C" w:rsidRDefault="003B4C6C" w:rsidP="003B4C6C"/>
    <w:p w:rsidR="003B4C6C" w:rsidRDefault="003B4C6C" w:rsidP="003B4C6C"/>
    <w:p w:rsidR="003B4C6C" w:rsidRDefault="003B4C6C" w:rsidP="003B4C6C">
      <w:pPr>
        <w:rPr>
          <w:b/>
          <w:bCs/>
          <w:i/>
          <w:iCs/>
        </w:rPr>
      </w:pPr>
      <w:r>
        <w:rPr>
          <w:b/>
          <w:bCs/>
          <w:i/>
          <w:iCs/>
        </w:rPr>
        <w:t>V upanju, da se vidimo na sejmu in hitrih zaposlitvenih razgovorih, vas lepo pozdravljamo.</w:t>
      </w:r>
    </w:p>
    <w:p w:rsidR="003B4C6C" w:rsidRDefault="003B4C6C" w:rsidP="003B4C6C"/>
    <w:p w:rsidR="003B4C6C" w:rsidRDefault="003B4C6C" w:rsidP="003B4C6C">
      <w:r>
        <w:t>Karierni center Univerze v Mariboru</w:t>
      </w:r>
    </w:p>
    <w:p w:rsidR="003B4C6C" w:rsidRDefault="003B4C6C" w:rsidP="003B4C6C">
      <w:r>
        <w:t>Zavod RS za zaposlovanje, OS Maribor in OS Ptuj</w:t>
      </w:r>
    </w:p>
    <w:p w:rsidR="003B4C6C" w:rsidRDefault="003B4C6C" w:rsidP="003B4C6C"/>
    <w:p w:rsidR="003B4C6C" w:rsidRDefault="003B4C6C" w:rsidP="003B4C6C">
      <w:pPr>
        <w:rPr>
          <w:color w:val="1F497D"/>
          <w:lang w:eastAsia="sl-SI"/>
        </w:rPr>
      </w:pPr>
    </w:p>
    <w:tbl>
      <w:tblPr>
        <w:tblW w:w="0" w:type="auto"/>
        <w:tblCellMar>
          <w:left w:w="0" w:type="dxa"/>
          <w:right w:w="0" w:type="dxa"/>
        </w:tblCellMar>
        <w:tblLook w:val="04A0" w:firstRow="1" w:lastRow="0" w:firstColumn="1" w:lastColumn="0" w:noHBand="0" w:noVBand="1"/>
      </w:tblPr>
      <w:tblGrid>
        <w:gridCol w:w="2046"/>
        <w:gridCol w:w="2100"/>
        <w:gridCol w:w="2280"/>
      </w:tblGrid>
      <w:tr w:rsidR="003B4C6C" w:rsidTr="003B4C6C">
        <w:tc>
          <w:tcPr>
            <w:tcW w:w="1716" w:type="dxa"/>
            <w:tcBorders>
              <w:top w:val="single" w:sz="8" w:space="0" w:color="17365D"/>
              <w:left w:val="nil"/>
              <w:bottom w:val="nil"/>
              <w:right w:val="nil"/>
            </w:tcBorders>
            <w:tcMar>
              <w:top w:w="0" w:type="dxa"/>
              <w:left w:w="108" w:type="dxa"/>
              <w:bottom w:w="0" w:type="dxa"/>
              <w:right w:w="108" w:type="dxa"/>
            </w:tcMar>
          </w:tcPr>
          <w:p w:rsidR="003B4C6C" w:rsidRDefault="003B4C6C">
            <w:pPr>
              <w:spacing w:line="276" w:lineRule="auto"/>
              <w:rPr>
                <w:rFonts w:ascii="Candara" w:hAnsi="Candara"/>
                <w:color w:val="1F497D"/>
                <w:sz w:val="20"/>
                <w:szCs w:val="20"/>
              </w:rPr>
            </w:pPr>
          </w:p>
        </w:tc>
        <w:tc>
          <w:tcPr>
            <w:tcW w:w="4174" w:type="dxa"/>
            <w:gridSpan w:val="2"/>
            <w:tcBorders>
              <w:top w:val="single" w:sz="8" w:space="0" w:color="17365D"/>
              <w:left w:val="nil"/>
              <w:bottom w:val="nil"/>
              <w:right w:val="nil"/>
            </w:tcBorders>
            <w:tcMar>
              <w:top w:w="0" w:type="dxa"/>
              <w:left w:w="108" w:type="dxa"/>
              <w:bottom w:w="0" w:type="dxa"/>
              <w:right w:w="108" w:type="dxa"/>
            </w:tcMar>
          </w:tcPr>
          <w:p w:rsidR="003B4C6C" w:rsidRDefault="003B4C6C">
            <w:pPr>
              <w:spacing w:line="276" w:lineRule="auto"/>
              <w:rPr>
                <w:rFonts w:ascii="Candara" w:hAnsi="Candara"/>
                <w:b/>
                <w:bCs/>
                <w:color w:val="006A8E"/>
                <w:sz w:val="18"/>
                <w:szCs w:val="18"/>
              </w:rPr>
            </w:pPr>
          </w:p>
        </w:tc>
      </w:tr>
      <w:tr w:rsidR="003B4C6C" w:rsidTr="003B4C6C">
        <w:tc>
          <w:tcPr>
            <w:tcW w:w="1716" w:type="dxa"/>
            <w:tcBorders>
              <w:top w:val="nil"/>
              <w:left w:val="nil"/>
              <w:bottom w:val="single" w:sz="8" w:space="0" w:color="1F497D"/>
              <w:right w:val="single" w:sz="8" w:space="0" w:color="006A8E"/>
            </w:tcBorders>
            <w:tcMar>
              <w:top w:w="0" w:type="dxa"/>
              <w:left w:w="108" w:type="dxa"/>
              <w:bottom w:w="0" w:type="dxa"/>
              <w:right w:w="108" w:type="dxa"/>
            </w:tcMar>
            <w:hideMark/>
          </w:tcPr>
          <w:p w:rsidR="003B4C6C" w:rsidRDefault="003B4C6C">
            <w:pPr>
              <w:spacing w:line="276" w:lineRule="auto"/>
              <w:rPr>
                <w:rFonts w:ascii="Candara" w:hAnsi="Candara"/>
                <w:color w:val="1F497D"/>
                <w:sz w:val="20"/>
                <w:szCs w:val="20"/>
              </w:rPr>
            </w:pPr>
            <w:r>
              <w:rPr>
                <w:noProof/>
                <w:color w:val="1F497D"/>
                <w:lang w:eastAsia="sl-SI"/>
              </w:rPr>
              <w:drawing>
                <wp:inline distT="0" distB="0" distL="0" distR="0">
                  <wp:extent cx="1162050" cy="666750"/>
                  <wp:effectExtent l="0" t="0" r="0" b="0"/>
                  <wp:docPr id="4" name="Slika 4" descr="cid:image001.jpg@01D14DE5.D07CB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id:image001.jpg@01D14DE5.D07CBB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62050" cy="666750"/>
                          </a:xfrm>
                          <a:prstGeom prst="rect">
                            <a:avLst/>
                          </a:prstGeom>
                          <a:noFill/>
                          <a:ln>
                            <a:noFill/>
                          </a:ln>
                        </pic:spPr>
                      </pic:pic>
                    </a:graphicData>
                  </a:graphic>
                </wp:inline>
              </w:drawing>
            </w:r>
          </w:p>
        </w:tc>
        <w:tc>
          <w:tcPr>
            <w:tcW w:w="4174" w:type="dxa"/>
            <w:gridSpan w:val="2"/>
            <w:tcBorders>
              <w:top w:val="nil"/>
              <w:left w:val="nil"/>
              <w:bottom w:val="single" w:sz="8" w:space="0" w:color="1F497D"/>
              <w:right w:val="nil"/>
            </w:tcBorders>
            <w:tcMar>
              <w:top w:w="0" w:type="dxa"/>
              <w:left w:w="108" w:type="dxa"/>
              <w:bottom w:w="0" w:type="dxa"/>
              <w:right w:w="108" w:type="dxa"/>
            </w:tcMar>
            <w:hideMark/>
          </w:tcPr>
          <w:p w:rsidR="003B4C6C" w:rsidRDefault="003B4C6C">
            <w:pPr>
              <w:spacing w:line="276" w:lineRule="auto"/>
              <w:rPr>
                <w:b/>
                <w:bCs/>
                <w:color w:val="006A8E"/>
                <w:sz w:val="18"/>
                <w:szCs w:val="18"/>
              </w:rPr>
            </w:pPr>
            <w:r>
              <w:rPr>
                <w:b/>
                <w:bCs/>
                <w:color w:val="006A8E"/>
                <w:sz w:val="18"/>
                <w:szCs w:val="18"/>
              </w:rPr>
              <w:t>Karierni center Univerze v Mariboru | Career Centre of the University of Maribor</w:t>
            </w:r>
          </w:p>
          <w:p w:rsidR="003B4C6C" w:rsidRDefault="003B4C6C">
            <w:pPr>
              <w:spacing w:after="120" w:line="276" w:lineRule="auto"/>
              <w:rPr>
                <w:b/>
                <w:bCs/>
                <w:color w:val="006A8E"/>
                <w:sz w:val="18"/>
                <w:szCs w:val="18"/>
              </w:rPr>
            </w:pPr>
            <w:r>
              <w:rPr>
                <w:b/>
                <w:bCs/>
                <w:color w:val="006A8E"/>
                <w:sz w:val="18"/>
                <w:szCs w:val="18"/>
              </w:rPr>
              <w:t>Slomškov trg 15, SI - 2000 Maribor</w:t>
            </w:r>
          </w:p>
          <w:p w:rsidR="003B4C6C" w:rsidRDefault="003B4C6C">
            <w:pPr>
              <w:spacing w:line="276" w:lineRule="auto"/>
              <w:rPr>
                <w:color w:val="006A8E"/>
                <w:sz w:val="18"/>
                <w:szCs w:val="18"/>
              </w:rPr>
            </w:pPr>
            <w:r>
              <w:rPr>
                <w:color w:val="006A8E"/>
                <w:sz w:val="18"/>
                <w:szCs w:val="18"/>
              </w:rPr>
              <w:t>T: +386 (2) 23 55 228</w:t>
            </w:r>
          </w:p>
          <w:p w:rsidR="003B4C6C" w:rsidRDefault="003B4C6C">
            <w:pPr>
              <w:spacing w:line="276" w:lineRule="auto"/>
              <w:rPr>
                <w:rFonts w:ascii="Candara" w:hAnsi="Candara"/>
                <w:color w:val="006A8E"/>
                <w:sz w:val="15"/>
                <w:szCs w:val="15"/>
              </w:rPr>
            </w:pPr>
            <w:r>
              <w:rPr>
                <w:color w:val="006A8E"/>
                <w:sz w:val="18"/>
                <w:szCs w:val="18"/>
              </w:rPr>
              <w:t xml:space="preserve">E: </w:t>
            </w:r>
            <w:hyperlink r:id="rId23" w:history="1">
              <w:r>
                <w:rPr>
                  <w:rStyle w:val="Hiperpovezava"/>
                  <w:sz w:val="18"/>
                  <w:szCs w:val="18"/>
                </w:rPr>
                <w:t>karierni.center@um.si</w:t>
              </w:r>
            </w:hyperlink>
            <w:r>
              <w:rPr>
                <w:color w:val="006A8E"/>
                <w:sz w:val="18"/>
                <w:szCs w:val="18"/>
              </w:rPr>
              <w:t xml:space="preserve">, </w:t>
            </w:r>
            <w:hyperlink r:id="rId24" w:history="1">
              <w:r>
                <w:rPr>
                  <w:rStyle w:val="Hiperpovezava"/>
                  <w:sz w:val="18"/>
                  <w:szCs w:val="18"/>
                </w:rPr>
                <w:t>www.kc.um.si</w:t>
              </w:r>
            </w:hyperlink>
          </w:p>
        </w:tc>
      </w:tr>
      <w:tr w:rsidR="003B4C6C" w:rsidTr="003B4C6C">
        <w:tc>
          <w:tcPr>
            <w:tcW w:w="1716" w:type="dxa"/>
            <w:tcMar>
              <w:top w:w="0" w:type="dxa"/>
              <w:left w:w="108" w:type="dxa"/>
              <w:bottom w:w="0" w:type="dxa"/>
              <w:right w:w="108" w:type="dxa"/>
            </w:tcMar>
            <w:vAlign w:val="center"/>
            <w:hideMark/>
          </w:tcPr>
          <w:p w:rsidR="003B4C6C" w:rsidRDefault="003B4C6C">
            <w:pPr>
              <w:spacing w:line="276" w:lineRule="auto"/>
              <w:jc w:val="center"/>
              <w:rPr>
                <w:rFonts w:ascii="Candara" w:hAnsi="Candara"/>
                <w:color w:val="006A8E"/>
                <w:sz w:val="18"/>
                <w:szCs w:val="18"/>
              </w:rPr>
            </w:pPr>
            <w:r>
              <w:rPr>
                <w:rFonts w:ascii="Candara" w:hAnsi="Candara"/>
                <w:noProof/>
                <w:color w:val="006A8E"/>
                <w:sz w:val="18"/>
                <w:szCs w:val="18"/>
                <w:lang w:eastAsia="sl-SI"/>
              </w:rPr>
              <w:drawing>
                <wp:inline distT="0" distB="0" distL="0" distR="0">
                  <wp:extent cx="723900" cy="323850"/>
                  <wp:effectExtent l="0" t="0" r="0" b="0"/>
                  <wp:docPr id="3" name="Slika 3" descr="cid:image010.png@01CFC8E4.5061D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10.png@01CFC8E4.5061D0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2087" w:type="dxa"/>
            <w:vAlign w:val="center"/>
            <w:hideMark/>
          </w:tcPr>
          <w:p w:rsidR="003B4C6C" w:rsidRDefault="003B4C6C">
            <w:pPr>
              <w:spacing w:line="276" w:lineRule="auto"/>
              <w:jc w:val="center"/>
              <w:rPr>
                <w:rFonts w:ascii="Candara" w:hAnsi="Candara"/>
                <w:color w:val="006A8E"/>
                <w:sz w:val="18"/>
                <w:szCs w:val="18"/>
              </w:rPr>
            </w:pPr>
            <w:r>
              <w:rPr>
                <w:rFonts w:ascii="Candara" w:hAnsi="Candara"/>
                <w:noProof/>
                <w:color w:val="006A8E"/>
                <w:sz w:val="18"/>
                <w:szCs w:val="18"/>
                <w:lang w:eastAsia="sl-SI"/>
              </w:rPr>
              <w:drawing>
                <wp:inline distT="0" distB="0" distL="0" distR="0">
                  <wp:extent cx="1323975" cy="219075"/>
                  <wp:effectExtent l="0" t="0" r="9525" b="9525"/>
                  <wp:docPr id="2" name="Slika 2" descr="MIZS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p>
        </w:tc>
        <w:tc>
          <w:tcPr>
            <w:tcW w:w="2087" w:type="dxa"/>
            <w:vAlign w:val="center"/>
            <w:hideMark/>
          </w:tcPr>
          <w:p w:rsidR="003B4C6C" w:rsidRDefault="003B4C6C">
            <w:pPr>
              <w:spacing w:line="276" w:lineRule="auto"/>
              <w:jc w:val="center"/>
              <w:rPr>
                <w:rFonts w:ascii="Candara" w:hAnsi="Candara"/>
                <w:color w:val="006A8E"/>
                <w:sz w:val="18"/>
                <w:szCs w:val="18"/>
              </w:rPr>
            </w:pPr>
            <w:r>
              <w:rPr>
                <w:rFonts w:ascii="Candara" w:hAnsi="Candara"/>
                <w:noProof/>
                <w:color w:val="006A8E"/>
                <w:sz w:val="18"/>
                <w:szCs w:val="18"/>
                <w:lang w:eastAsia="sl-SI"/>
              </w:rPr>
              <w:drawing>
                <wp:inline distT="0" distB="0" distL="0" distR="0">
                  <wp:extent cx="1438275" cy="581025"/>
                  <wp:effectExtent l="0" t="0" r="9525" b="9525"/>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tip"/>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tc>
      </w:tr>
    </w:tbl>
    <w:p w:rsidR="003B4C6C" w:rsidRDefault="003B4C6C" w:rsidP="003B4C6C"/>
    <w:p w:rsidR="00A04CDA" w:rsidRDefault="00A04CDA">
      <w:bookmarkStart w:id="0" w:name="_GoBack"/>
      <w:bookmarkEnd w:id="0"/>
    </w:p>
    <w:sectPr w:rsidR="00A0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6C"/>
    <w:rsid w:val="003B4C6C"/>
    <w:rsid w:val="00A04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E3FF-0943-4001-8482-81C8BEC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4C6C"/>
    <w:pPr>
      <w:spacing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B4C6C"/>
    <w:rPr>
      <w:color w:val="0563C1"/>
      <w:u w:val="single"/>
    </w:rPr>
  </w:style>
  <w:style w:type="paragraph" w:styleId="Navadensplet">
    <w:name w:val="Normal (Web)"/>
    <w:basedOn w:val="Navaden"/>
    <w:uiPriority w:val="99"/>
    <w:semiHidden/>
    <w:unhideWhenUsed/>
    <w:rsid w:val="003B4C6C"/>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3B4C6C"/>
    <w:pPr>
      <w:ind w:left="720"/>
    </w:pPr>
  </w:style>
  <w:style w:type="character" w:styleId="Krepko">
    <w:name w:val="Strong"/>
    <w:basedOn w:val="Privzetapisavaodstavka"/>
    <w:uiPriority w:val="22"/>
    <w:qFormat/>
    <w:rsid w:val="003B4C6C"/>
    <w:rPr>
      <w:b/>
      <w:bCs/>
    </w:rPr>
  </w:style>
  <w:style w:type="character" w:styleId="Poudarek">
    <w:name w:val="Emphasis"/>
    <w:basedOn w:val="Privzetapisavaodstavka"/>
    <w:uiPriority w:val="20"/>
    <w:qFormat/>
    <w:rsid w:val="003B4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um.si/dogodki/hitri-zaposlitveni-razgovori-les-mms-d.o.o.-lesnina-xxxl" TargetMode="External"/><Relationship Id="rId13" Type="http://schemas.openxmlformats.org/officeDocument/2006/relationships/hyperlink" Target="https://kc.um.si/dogodki/pia-automation-austria-gmbh" TargetMode="External"/><Relationship Id="rId18" Type="http://schemas.openxmlformats.org/officeDocument/2006/relationships/hyperlink" Target="https://kc.um.si/dogodki/hitri-zaposlitveni-ragovori-boxmark-leather-d.o.o" TargetMode="External"/><Relationship Id="rId26" Type="http://schemas.openxmlformats.org/officeDocument/2006/relationships/image" Target="cid:image006.png@01D3AFA3.4B1C1CE0"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kc.um.si/dogodki/hitri-zaposlitveni-razgovori-ssi-schaefer-d.o.o" TargetMode="External"/><Relationship Id="rId12" Type="http://schemas.openxmlformats.org/officeDocument/2006/relationships/hyperlink" Target="https://kc.um.si/dogodki/hitri-zaposlitveni-razgovori-boom-software-ag" TargetMode="External"/><Relationship Id="rId17" Type="http://schemas.openxmlformats.org/officeDocument/2006/relationships/hyperlink" Target="https://kc.um.si/dogodki/hitri-zaposlitveni-razgovori-kadring-d.o.o"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kc.um.si/dogodki/hitri-zaposlitveni-razgovori-lasertehnik-marfin-d.o.o-1" TargetMode="External"/><Relationship Id="rId20" Type="http://schemas.openxmlformats.org/officeDocument/2006/relationships/hyperlink" Target="https://kc.um.si/dogodki/5.-karierna-trznica-v-zivo"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kc.um.si/dogodki/hitri-zaposlitveni-razgovori-trenkwalder-kadrovske-storitve-d.o.o-1" TargetMode="External"/><Relationship Id="rId11" Type="http://schemas.openxmlformats.org/officeDocument/2006/relationships/hyperlink" Target="https://kc.um.si/dogodki/hitri-zaposlitveni-razgovori-gkn-driveline-slovenija-d.o.o" TargetMode="External"/><Relationship Id="rId24" Type="http://schemas.openxmlformats.org/officeDocument/2006/relationships/hyperlink" Target="http://www.kc.um.si" TargetMode="External"/><Relationship Id="rId32" Type="http://schemas.openxmlformats.org/officeDocument/2006/relationships/theme" Target="theme/theme1.xml"/><Relationship Id="rId5" Type="http://schemas.openxmlformats.org/officeDocument/2006/relationships/hyperlink" Target="https://kc.um.si/dogodki/hitri-zaposlitveni-razgovori-fima-znanje-izobrazevalni-center-tujih-jezikov-1" TargetMode="External"/><Relationship Id="rId15" Type="http://schemas.openxmlformats.org/officeDocument/2006/relationships/hyperlink" Target="https://kc.um.si/dogodki/hitri-zaposlitveni-razgovori-henkel-maribor-d.o.o" TargetMode="External"/><Relationship Id="rId23" Type="http://schemas.openxmlformats.org/officeDocument/2006/relationships/hyperlink" Target="mailto:karierni.center@um.si" TargetMode="External"/><Relationship Id="rId28" Type="http://schemas.openxmlformats.org/officeDocument/2006/relationships/image" Target="cid:image007.jpg@01D3AFA3.4B1C1CE0" TargetMode="External"/><Relationship Id="rId10" Type="http://schemas.openxmlformats.org/officeDocument/2006/relationships/hyperlink" Target="https://kc.um.si/dogodki/hitri-zaposlitveni-razgovori-agencija-m-servis-kadrovske-storitve-d.o.o-1" TargetMode="External"/><Relationship Id="rId19" Type="http://schemas.openxmlformats.org/officeDocument/2006/relationships/hyperlink" Target="https://kc.um.si/dogodki/hitri-zaposlitveni-razgovori-jungheinrich-systemloesungen-gmbh" TargetMode="External"/><Relationship Id="rId31" Type="http://schemas.openxmlformats.org/officeDocument/2006/relationships/fontTable" Target="fontTable.xml"/><Relationship Id="rId4" Type="http://schemas.openxmlformats.org/officeDocument/2006/relationships/hyperlink" Target="https://kc.um.si/dogodki/hitri-zaposlitveni-razgovori-talum-d.d-1" TargetMode="External"/><Relationship Id="rId9" Type="http://schemas.openxmlformats.org/officeDocument/2006/relationships/hyperlink" Target="https://kc.um.si/dogodki/hitri-zaposlitveni-razgovori-e-studentski-servis-ss-d.o.o" TargetMode="External"/><Relationship Id="rId14" Type="http://schemas.openxmlformats.org/officeDocument/2006/relationships/hyperlink" Target="https://kc.um.si/dogodki/hitri-zaposlitveni-razgovori-lek-d.-d.-clan-skupine-sandoz" TargetMode="External"/><Relationship Id="rId22" Type="http://schemas.openxmlformats.org/officeDocument/2006/relationships/image" Target="cid:image005.jpg@01D3AFA3.4B1C1CE0" TargetMode="External"/><Relationship Id="rId27" Type="http://schemas.openxmlformats.org/officeDocument/2006/relationships/image" Target="media/image3.jpeg"/><Relationship Id="rId30" Type="http://schemas.openxmlformats.org/officeDocument/2006/relationships/image" Target="cid:image008.jpg@01D3AFA3.4B1C1CE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Orož</dc:creator>
  <cp:keywords/>
  <dc:description/>
  <cp:lastModifiedBy>Milena Orož</cp:lastModifiedBy>
  <cp:revision>1</cp:revision>
  <dcterms:created xsi:type="dcterms:W3CDTF">2018-02-27T07:26:00Z</dcterms:created>
  <dcterms:modified xsi:type="dcterms:W3CDTF">2018-02-27T07:27:00Z</dcterms:modified>
</cp:coreProperties>
</file>